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14A5" w14:textId="77777777" w:rsidR="00CC3F4D" w:rsidRPr="00CC3F4D" w:rsidRDefault="00CC3F4D" w:rsidP="00CC3F4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COMMITTEE_ON_APPROPRIATIONS"/>
      <w:bookmarkEnd w:id="0"/>
      <w:r w:rsidRPr="00CC3F4D">
        <w:rPr>
          <w:rFonts w:ascii="Times New Roman" w:hAnsi="Times New Roman" w:cs="Times New Roman"/>
          <w:b/>
          <w:bCs/>
          <w:sz w:val="36"/>
          <w:szCs w:val="36"/>
        </w:rPr>
        <w:t>Office of Congresswoman Deborah Ross</w:t>
      </w:r>
    </w:p>
    <w:p w14:paraId="5CF7CA5E" w14:textId="3805CBEE" w:rsidR="00CC3F4D" w:rsidRPr="00CC3F4D" w:rsidRDefault="00CC3F4D" w:rsidP="00CC3F4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C3F4D">
        <w:rPr>
          <w:rFonts w:ascii="Times New Roman" w:hAnsi="Times New Roman" w:cs="Times New Roman"/>
          <w:b/>
          <w:bCs/>
          <w:sz w:val="36"/>
          <w:szCs w:val="36"/>
        </w:rPr>
        <w:t xml:space="preserve">FY2027 Labor, Health, and Human Services </w:t>
      </w:r>
    </w:p>
    <w:p w14:paraId="291B5C7B" w14:textId="147A17F4" w:rsidR="00CC3F4D" w:rsidRPr="00CC3F4D" w:rsidRDefault="00CC3F4D" w:rsidP="00CC3F4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C3F4D">
        <w:rPr>
          <w:rFonts w:ascii="Times New Roman" w:hAnsi="Times New Roman" w:cs="Times New Roman"/>
          <w:b/>
          <w:bCs/>
          <w:sz w:val="36"/>
          <w:szCs w:val="36"/>
        </w:rPr>
        <w:t>Community Project Request Form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19B7967B" w14:textId="0DF7AF10" w:rsidR="00CC3F4D" w:rsidRPr="00CC3F4D" w:rsidRDefault="00CC3F4D" w:rsidP="00CC3F4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C3F4D">
        <w:rPr>
          <w:rFonts w:ascii="Times New Roman" w:hAnsi="Times New Roman" w:cs="Times New Roman"/>
        </w:rPr>
        <w:t xml:space="preserve">Return completed form and required documentation to: </w:t>
      </w:r>
      <w:hyperlink r:id="rId7" w:history="1">
        <w:r w:rsidRPr="00CC3F4D">
          <w:rPr>
            <w:rStyle w:val="Hyperlink"/>
            <w:rFonts w:ascii="Times New Roman" w:hAnsi="Times New Roman" w:cs="Times New Roman"/>
          </w:rPr>
          <w:t>CommunityProjects.Ross@mail.house.gov</w:t>
        </w:r>
      </w:hyperlink>
      <w:r w:rsidR="00E05485">
        <w:t xml:space="preserve">. </w:t>
      </w:r>
      <w:r w:rsidR="00E05485" w:rsidRPr="00E05485">
        <w:rPr>
          <w:rFonts w:ascii="Times New Roman" w:hAnsi="Times New Roman" w:cs="Times New Roman"/>
        </w:rPr>
        <w:t>If you have questions, please reach out to Puj Adusumilli in Rep. Ross’ Office (</w:t>
      </w:r>
      <w:hyperlink r:id="rId8" w:history="1">
        <w:r w:rsidR="00E05485" w:rsidRPr="00E05485">
          <w:rPr>
            <w:rStyle w:val="Hyperlink"/>
            <w:rFonts w:ascii="Times New Roman" w:hAnsi="Times New Roman" w:cs="Times New Roman"/>
          </w:rPr>
          <w:t>Puj.Adusumilli@mail.house.gov</w:t>
        </w:r>
      </w:hyperlink>
      <w:r w:rsidR="00E05485" w:rsidRPr="00E05485">
        <w:rPr>
          <w:rFonts w:ascii="Times New Roman" w:hAnsi="Times New Roman" w:cs="Times New Roman"/>
        </w:rPr>
        <w:t>)</w:t>
      </w:r>
      <w:r w:rsidR="00E05485">
        <w:t xml:space="preserve">  </w:t>
      </w:r>
      <w:r w:rsidRPr="00CC3F4D">
        <w:rPr>
          <w:rFonts w:ascii="Times New Roman" w:hAnsi="Times New Roman" w:cs="Times New Roman"/>
          <w:sz w:val="28"/>
          <w:szCs w:val="28"/>
        </w:rPr>
        <w:br/>
      </w:r>
      <w:r w:rsidRPr="00CC3F4D">
        <w:rPr>
          <w:rFonts w:ascii="Times New Roman" w:hAnsi="Times New Roman" w:cs="Times New Roman"/>
          <w:sz w:val="28"/>
          <w:szCs w:val="28"/>
        </w:rPr>
        <w:br/>
      </w:r>
      <w:r w:rsidRPr="00CC3F4D">
        <w:rPr>
          <w:rFonts w:ascii="Times New Roman" w:hAnsi="Times New Roman" w:cs="Times New Roman"/>
          <w:b/>
          <w:bCs/>
          <w:sz w:val="28"/>
          <w:szCs w:val="28"/>
        </w:rPr>
        <w:t xml:space="preserve">PLEASE FIND PROJECT ELIGIBILITY GUIDELINES UNDER THE QUESTIONS BELOW. INELIGIBLE PROJECTS </w:t>
      </w:r>
      <w:r w:rsidRPr="00CC3F4D">
        <w:rPr>
          <w:rFonts w:ascii="Times New Roman" w:hAnsi="Times New Roman" w:cs="Times New Roman"/>
          <w:b/>
          <w:bCs/>
          <w:sz w:val="28"/>
          <w:szCs w:val="28"/>
          <w:u w:val="single"/>
        </w:rPr>
        <w:t>WILL NOT BE SUBMITTED.</w:t>
      </w:r>
      <w:r w:rsidRPr="00CC3F4D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</w:p>
    <w:p w14:paraId="33149E36" w14:textId="71DF7131" w:rsidR="00CC3F4D" w:rsidRPr="00CC3F4D" w:rsidRDefault="00CC3F4D" w:rsidP="00CC3F4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 w:rsidRPr="00CC3F4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Due Date for this Request Form: Friday, March 6, </w:t>
      </w:r>
      <w:proofErr w:type="gramStart"/>
      <w:r w:rsidRPr="00CC3F4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2026</w:t>
      </w:r>
      <w:proofErr w:type="gramEnd"/>
      <w:r w:rsidRPr="00CC3F4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12:00PM EST</w:t>
      </w:r>
    </w:p>
    <w:p w14:paraId="43B4D0E8" w14:textId="68D8FE69" w:rsidR="00CC3F4D" w:rsidRPr="00CC3F4D" w:rsidRDefault="00CC3F4D" w:rsidP="00CC3F4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C3F4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Due Date for Letters/Evidence of Community Support (in a single PDF): Tuesday, March 10, </w:t>
      </w:r>
      <w:proofErr w:type="gramStart"/>
      <w:r w:rsidRPr="00CC3F4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2026</w:t>
      </w:r>
      <w:proofErr w:type="gramEnd"/>
      <w:r w:rsidRPr="00CC3F4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6:00PM EST</w:t>
      </w:r>
    </w:p>
    <w:p w14:paraId="0ABF3F22" w14:textId="77777777" w:rsidR="00CC3F4D" w:rsidRDefault="00CC3F4D" w:rsidP="00CC3F4D">
      <w:pPr>
        <w:pStyle w:val="NoSpacing"/>
      </w:pPr>
    </w:p>
    <w:p w14:paraId="4424568B" w14:textId="77777777" w:rsidR="00CC3F4D" w:rsidRDefault="00CC3F4D" w:rsidP="00CC3F4D">
      <w:pPr>
        <w:spacing w:before="60"/>
        <w:ind w:right="740"/>
        <w:rPr>
          <w:b/>
          <w:sz w:val="24"/>
        </w:rPr>
      </w:pPr>
    </w:p>
    <w:p w14:paraId="0F4DAC7B" w14:textId="556085E8" w:rsidR="00CC3F4D" w:rsidRDefault="003B0584" w:rsidP="00CC3F4D">
      <w:pPr>
        <w:spacing w:before="60"/>
        <w:ind w:right="740"/>
        <w:rPr>
          <w:b/>
          <w:sz w:val="24"/>
        </w:rPr>
      </w:pPr>
      <w:r w:rsidRPr="006125D5">
        <w:rPr>
          <w:sz w:val="24"/>
          <w:szCs w:val="24"/>
          <w:u w:val="single"/>
        </w:rPr>
        <w:t>Required Questions:</w:t>
      </w:r>
      <w:r>
        <w:rPr>
          <w:sz w:val="24"/>
          <w:szCs w:val="24"/>
          <w:u w:val="single"/>
        </w:rPr>
        <w:br/>
      </w:r>
    </w:p>
    <w:p w14:paraId="226B65BE" w14:textId="1D35B045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96"/>
        <w:rPr>
          <w:sz w:val="24"/>
        </w:rPr>
      </w:pPr>
      <w:r>
        <w:rPr>
          <w:sz w:val="24"/>
        </w:rPr>
        <w:t>Entity Requesting Funds (legal name, no abbreviations):</w:t>
      </w:r>
      <w:r>
        <w:rPr>
          <w:sz w:val="24"/>
        </w:rPr>
        <w:br/>
      </w:r>
      <w:r>
        <w:rPr>
          <w:sz w:val="24"/>
        </w:rPr>
        <w:br/>
      </w:r>
    </w:p>
    <w:p w14:paraId="384DCB22" w14:textId="2FB8191D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96"/>
        <w:rPr>
          <w:sz w:val="24"/>
        </w:rPr>
      </w:pPr>
      <w:r>
        <w:rPr>
          <w:sz w:val="24"/>
        </w:rPr>
        <w:t>Primary Point of Contact (Name, E-mail, Phone number, Organization Address):</w:t>
      </w:r>
      <w:r>
        <w:rPr>
          <w:sz w:val="24"/>
        </w:rPr>
        <w:br/>
      </w:r>
      <w:r>
        <w:rPr>
          <w:sz w:val="24"/>
        </w:rPr>
        <w:br/>
      </w:r>
    </w:p>
    <w:p w14:paraId="4E390CBF" w14:textId="44A84367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96"/>
        <w:rPr>
          <w:sz w:val="24"/>
        </w:rPr>
      </w:pPr>
      <w:r>
        <w:rPr>
          <w:sz w:val="24"/>
        </w:rPr>
        <w:t>Project Description (not more than 250 words):</w:t>
      </w:r>
      <w:r>
        <w:rPr>
          <w:sz w:val="24"/>
        </w:rPr>
        <w:br/>
      </w:r>
      <w:r>
        <w:rPr>
          <w:sz w:val="24"/>
        </w:rPr>
        <w:br/>
      </w:r>
    </w:p>
    <w:p w14:paraId="48AED386" w14:textId="062EA668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96"/>
        <w:rPr>
          <w:sz w:val="24"/>
        </w:rPr>
      </w:pPr>
      <w:r>
        <w:rPr>
          <w:sz w:val="24"/>
        </w:rPr>
        <w:t>Amount Requested:</w:t>
      </w:r>
      <w:r>
        <w:rPr>
          <w:sz w:val="24"/>
        </w:rPr>
        <w:br/>
      </w:r>
      <w:r>
        <w:rPr>
          <w:sz w:val="24"/>
        </w:rPr>
        <w:br/>
      </w:r>
    </w:p>
    <w:p w14:paraId="4DE30C3B" w14:textId="46B28B0B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96"/>
        <w:rPr>
          <w:sz w:val="24"/>
        </w:rPr>
      </w:pPr>
      <w:r>
        <w:rPr>
          <w:sz w:val="24"/>
        </w:rPr>
        <w:t>Total Project Cost:</w:t>
      </w:r>
      <w:r>
        <w:rPr>
          <w:sz w:val="24"/>
        </w:rPr>
        <w:br/>
      </w:r>
      <w:r>
        <w:rPr>
          <w:sz w:val="24"/>
        </w:rPr>
        <w:br/>
      </w:r>
    </w:p>
    <w:p w14:paraId="263150B1" w14:textId="4A8D05BA" w:rsidR="00CC3F4D" w:rsidRP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96"/>
        <w:rPr>
          <w:sz w:val="24"/>
        </w:rPr>
      </w:pPr>
      <w:r>
        <w:rPr>
          <w:sz w:val="24"/>
        </w:rPr>
        <w:t>Estimated start and completion date of the project:</w:t>
      </w:r>
      <w:r>
        <w:rPr>
          <w:sz w:val="24"/>
        </w:rPr>
        <w:br/>
      </w:r>
    </w:p>
    <w:p w14:paraId="062BE9CD" w14:textId="77777777" w:rsidR="00CC3F4D" w:rsidRDefault="00CC3F4D" w:rsidP="00CC3F4D">
      <w:pPr>
        <w:pStyle w:val="ListParagraph"/>
        <w:tabs>
          <w:tab w:val="left" w:pos="737"/>
          <w:tab w:val="left" w:pos="739"/>
        </w:tabs>
        <w:ind w:right="996" w:firstLine="0"/>
        <w:rPr>
          <w:sz w:val="24"/>
        </w:rPr>
      </w:pPr>
    </w:p>
    <w:p w14:paraId="60B1225D" w14:textId="1F219D85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96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affirm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3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 under LHHS CPF guidelines (SEE BELOW FOR GUIDELINES)?</w:t>
      </w:r>
      <w:r>
        <w:rPr>
          <w:sz w:val="24"/>
        </w:rPr>
        <w:br/>
      </w:r>
      <w:r>
        <w:rPr>
          <w:sz w:val="24"/>
        </w:rPr>
        <w:br/>
      </w:r>
    </w:p>
    <w:p w14:paraId="0680316A" w14:textId="67A4AED6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</w:tabs>
        <w:rPr>
          <w:sz w:val="24"/>
        </w:rPr>
      </w:pP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priority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district?</w:t>
      </w:r>
      <w:r>
        <w:rPr>
          <w:spacing w:val="58"/>
          <w:sz w:val="24"/>
        </w:rPr>
        <w:t xml:space="preserve"> </w:t>
      </w:r>
      <w:r>
        <w:rPr>
          <w:sz w:val="24"/>
        </w:rPr>
        <w:t>Briefly</w:t>
      </w:r>
      <w:r>
        <w:rPr>
          <w:spacing w:val="-1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community </w:t>
      </w:r>
      <w:r>
        <w:rPr>
          <w:spacing w:val="-2"/>
          <w:sz w:val="24"/>
        </w:rPr>
        <w:t>benefits.</w:t>
      </w:r>
      <w:r>
        <w:rPr>
          <w:spacing w:val="-2"/>
          <w:sz w:val="24"/>
        </w:rPr>
        <w:br/>
      </w:r>
      <w:r>
        <w:rPr>
          <w:spacing w:val="-2"/>
          <w:sz w:val="24"/>
        </w:rPr>
        <w:br/>
      </w:r>
    </w:p>
    <w:p w14:paraId="7EF46AFF" w14:textId="33D4386F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1238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and,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so,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much,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which agencies and program(s)?</w:t>
      </w:r>
      <w:r>
        <w:rPr>
          <w:sz w:val="24"/>
        </w:rPr>
        <w:br/>
      </w:r>
      <w:r>
        <w:rPr>
          <w:sz w:val="24"/>
        </w:rPr>
        <w:br/>
      </w:r>
    </w:p>
    <w:p w14:paraId="01B9C163" w14:textId="6F85DB5B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</w:tabs>
        <w:rPr>
          <w:sz w:val="24"/>
        </w:rPr>
      </w:pPr>
      <w:r>
        <w:rPr>
          <w:sz w:val="24"/>
        </w:rPr>
        <w:lastRenderedPageBreak/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(EIN)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recipient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organization?</w:t>
      </w:r>
      <w:r>
        <w:rPr>
          <w:spacing w:val="-2"/>
          <w:sz w:val="24"/>
        </w:rPr>
        <w:br/>
      </w:r>
      <w:r>
        <w:rPr>
          <w:spacing w:val="-2"/>
          <w:sz w:val="24"/>
        </w:rPr>
        <w:br/>
      </w:r>
    </w:p>
    <w:p w14:paraId="4E3C931C" w14:textId="7D3D1483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  <w:tab w:val="left" w:pos="739"/>
        </w:tabs>
        <w:ind w:right="940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breakdown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categories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3"/>
          <w:sz w:val="24"/>
        </w:rPr>
        <w:t xml:space="preserve"> </w:t>
      </w:r>
      <w:r>
        <w:rPr>
          <w:sz w:val="24"/>
        </w:rPr>
        <w:t>do not upload a spreadsheet with dozens of budget items).</w:t>
      </w:r>
      <w:r>
        <w:rPr>
          <w:sz w:val="24"/>
        </w:rPr>
        <w:br/>
      </w:r>
      <w:r>
        <w:rPr>
          <w:sz w:val="24"/>
        </w:rPr>
        <w:br/>
      </w:r>
    </w:p>
    <w:p w14:paraId="2F4F0098" w14:textId="2B48D981" w:rsidR="00CC3F4D" w:rsidRP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</w:tabs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1"/>
          <w:sz w:val="24"/>
        </w:rPr>
        <w:t xml:space="preserve"> </w:t>
      </w:r>
      <w:r>
        <w:rPr>
          <w:sz w:val="24"/>
        </w:rPr>
        <w:t>to receive funding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project.</w:t>
      </w:r>
      <w:r>
        <w:rPr>
          <w:spacing w:val="-2"/>
          <w:sz w:val="24"/>
        </w:rPr>
        <w:br/>
      </w:r>
      <w:r>
        <w:rPr>
          <w:spacing w:val="-2"/>
          <w:sz w:val="24"/>
        </w:rPr>
        <w:br/>
      </w:r>
    </w:p>
    <w:p w14:paraId="4AAD07CF" w14:textId="24CD03B4" w:rsidR="00CC3F4D" w:rsidRP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</w:tabs>
        <w:rPr>
          <w:sz w:val="24"/>
        </w:rPr>
      </w:pPr>
      <w:r w:rsidRPr="00CC3F4D">
        <w:rPr>
          <w:sz w:val="24"/>
        </w:rPr>
        <w:t>If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the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request</w:t>
      </w:r>
      <w:r w:rsidRPr="00CC3F4D">
        <w:rPr>
          <w:spacing w:val="-3"/>
          <w:sz w:val="24"/>
        </w:rPr>
        <w:t xml:space="preserve"> </w:t>
      </w:r>
      <w:r w:rsidRPr="00CC3F4D">
        <w:rPr>
          <w:sz w:val="24"/>
        </w:rPr>
        <w:t>does</w:t>
      </w:r>
      <w:r w:rsidRPr="00CC3F4D">
        <w:rPr>
          <w:spacing w:val="-3"/>
          <w:sz w:val="24"/>
        </w:rPr>
        <w:t xml:space="preserve"> </w:t>
      </w:r>
      <w:r w:rsidRPr="00CC3F4D">
        <w:rPr>
          <w:sz w:val="24"/>
        </w:rPr>
        <w:t>not</w:t>
      </w:r>
      <w:r w:rsidRPr="00CC3F4D">
        <w:rPr>
          <w:spacing w:val="-3"/>
          <w:sz w:val="24"/>
        </w:rPr>
        <w:t xml:space="preserve"> </w:t>
      </w:r>
      <w:r w:rsidRPr="00CC3F4D">
        <w:rPr>
          <w:sz w:val="24"/>
        </w:rPr>
        <w:t>fully</w:t>
      </w:r>
      <w:r w:rsidRPr="00CC3F4D">
        <w:rPr>
          <w:spacing w:val="-3"/>
          <w:sz w:val="24"/>
        </w:rPr>
        <w:t xml:space="preserve"> </w:t>
      </w:r>
      <w:r w:rsidRPr="00CC3F4D">
        <w:rPr>
          <w:sz w:val="24"/>
        </w:rPr>
        <w:t>fund</w:t>
      </w:r>
      <w:r w:rsidRPr="00CC3F4D">
        <w:rPr>
          <w:spacing w:val="-3"/>
          <w:sz w:val="24"/>
        </w:rPr>
        <w:t xml:space="preserve"> </w:t>
      </w:r>
      <w:r w:rsidRPr="00CC3F4D">
        <w:rPr>
          <w:sz w:val="24"/>
        </w:rPr>
        <w:t>the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project,</w:t>
      </w:r>
      <w:r w:rsidRPr="00CC3F4D">
        <w:rPr>
          <w:spacing w:val="-3"/>
          <w:sz w:val="24"/>
        </w:rPr>
        <w:t xml:space="preserve"> </w:t>
      </w:r>
      <w:r w:rsidRPr="00CC3F4D">
        <w:rPr>
          <w:sz w:val="24"/>
        </w:rPr>
        <w:t>describe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the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source(s)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of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funding</w:t>
      </w:r>
      <w:r w:rsidRPr="00CC3F4D">
        <w:rPr>
          <w:spacing w:val="-3"/>
          <w:sz w:val="24"/>
        </w:rPr>
        <w:t xml:space="preserve"> </w:t>
      </w:r>
      <w:r w:rsidRPr="00CC3F4D">
        <w:rPr>
          <w:sz w:val="24"/>
        </w:rPr>
        <w:t>necessary</w:t>
      </w:r>
      <w:r w:rsidRPr="00CC3F4D">
        <w:rPr>
          <w:spacing w:val="-4"/>
          <w:sz w:val="24"/>
        </w:rPr>
        <w:t xml:space="preserve"> </w:t>
      </w:r>
      <w:r w:rsidRPr="00CC3F4D">
        <w:rPr>
          <w:sz w:val="24"/>
        </w:rPr>
        <w:t>to complete the project.</w:t>
      </w:r>
      <w:r>
        <w:rPr>
          <w:sz w:val="24"/>
        </w:rPr>
        <w:br/>
      </w:r>
      <w:r w:rsidRPr="00CC3F4D">
        <w:rPr>
          <w:sz w:val="24"/>
        </w:rPr>
        <w:br/>
      </w:r>
    </w:p>
    <w:p w14:paraId="6B1167CA" w14:textId="77777777" w:rsidR="00CC3F4D" w:rsidRDefault="00CC3F4D" w:rsidP="00CC3F4D">
      <w:pPr>
        <w:pStyle w:val="ListParagraph"/>
        <w:numPr>
          <w:ilvl w:val="0"/>
          <w:numId w:val="6"/>
        </w:numPr>
        <w:tabs>
          <w:tab w:val="left" w:pos="737"/>
        </w:tabs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are 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making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project.</w:t>
      </w:r>
    </w:p>
    <w:p w14:paraId="679BD7C2" w14:textId="77777777" w:rsidR="00CC3F4D" w:rsidRDefault="00CC3F4D">
      <w:pPr>
        <w:spacing w:before="60"/>
        <w:ind w:right="740"/>
        <w:jc w:val="center"/>
        <w:rPr>
          <w:b/>
          <w:sz w:val="24"/>
        </w:rPr>
      </w:pPr>
    </w:p>
    <w:p w14:paraId="27DC3BCE" w14:textId="77777777" w:rsidR="00CC3F4D" w:rsidRDefault="00CC3F4D">
      <w:pPr>
        <w:spacing w:before="60"/>
        <w:ind w:right="740"/>
        <w:jc w:val="center"/>
        <w:rPr>
          <w:b/>
          <w:sz w:val="24"/>
        </w:rPr>
      </w:pPr>
    </w:p>
    <w:p w14:paraId="1E212CE1" w14:textId="6B369418" w:rsidR="00652A18" w:rsidRDefault="00000000">
      <w:pPr>
        <w:spacing w:before="60"/>
        <w:ind w:right="740"/>
        <w:jc w:val="center"/>
        <w:rPr>
          <w:b/>
          <w:sz w:val="24"/>
        </w:rPr>
      </w:pPr>
      <w:r>
        <w:rPr>
          <w:b/>
          <w:sz w:val="24"/>
        </w:rPr>
        <w:t>COMMITTEE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APPROPRIATIONS</w:t>
      </w:r>
    </w:p>
    <w:p w14:paraId="1E212CE2" w14:textId="77777777" w:rsidR="00652A18" w:rsidRDefault="00000000">
      <w:pPr>
        <w:spacing w:before="72"/>
        <w:ind w:left="1" w:right="740"/>
        <w:jc w:val="center"/>
        <w:rPr>
          <w:b/>
          <w:sz w:val="24"/>
        </w:rPr>
      </w:pPr>
      <w:bookmarkStart w:id="1" w:name="SUBCOMMITTEE_ON_LABOR,_HEALTH_AND_HUMAN_"/>
      <w:bookmarkEnd w:id="1"/>
      <w:r>
        <w:rPr>
          <w:b/>
          <w:sz w:val="24"/>
        </w:rPr>
        <w:t>SUBCOMMITTEE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LABOR,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 RELATED AGENCIES (LHHS)</w:t>
      </w:r>
    </w:p>
    <w:p w14:paraId="1E212CE3" w14:textId="77777777" w:rsidR="00652A18" w:rsidRDefault="00652A18">
      <w:pPr>
        <w:pStyle w:val="BodyText"/>
        <w:spacing w:before="144"/>
        <w:rPr>
          <w:b/>
        </w:rPr>
      </w:pPr>
    </w:p>
    <w:p w14:paraId="1E212CE7" w14:textId="77777777" w:rsidR="00652A18" w:rsidRDefault="00000000">
      <w:pPr>
        <w:spacing w:before="205"/>
        <w:ind w:left="19"/>
        <w:rPr>
          <w:b/>
          <w:sz w:val="24"/>
        </w:rPr>
      </w:pPr>
      <w:bookmarkStart w:id="2" w:name="Fiscal_Year_2027_Community_Project_Fundi"/>
      <w:bookmarkEnd w:id="2"/>
      <w:r>
        <w:rPr>
          <w:b/>
          <w:sz w:val="24"/>
          <w:u w:val="single"/>
        </w:rPr>
        <w:t>General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Guidance:</w:t>
      </w:r>
    </w:p>
    <w:p w14:paraId="1E212CE8" w14:textId="77777777" w:rsidR="00652A18" w:rsidRDefault="00652A18">
      <w:pPr>
        <w:pStyle w:val="BodyText"/>
        <w:rPr>
          <w:b/>
        </w:rPr>
      </w:pPr>
    </w:p>
    <w:p w14:paraId="1E212CE9" w14:textId="77777777" w:rsidR="00652A18" w:rsidRDefault="00000000">
      <w:pPr>
        <w:pStyle w:val="BodyText"/>
        <w:ind w:left="19" w:right="448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(CPF)</w:t>
      </w:r>
      <w:r>
        <w:rPr>
          <w:spacing w:val="-5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 xml:space="preserve">year (FY) 2027. All CPF requests must adhere to the eligibility requirements outlined in this guidance to be considered for FY 2027 funding. Please review this guidance </w:t>
      </w:r>
      <w:r>
        <w:rPr>
          <w:b/>
        </w:rPr>
        <w:t xml:space="preserve">in its entirety </w:t>
      </w:r>
      <w:r>
        <w:t xml:space="preserve">prior to submitting Member </w:t>
      </w:r>
      <w:r>
        <w:rPr>
          <w:spacing w:val="-2"/>
        </w:rPr>
        <w:t>requests.</w:t>
      </w:r>
    </w:p>
    <w:p w14:paraId="1E212D20" w14:textId="77777777" w:rsidR="00652A18" w:rsidRDefault="00652A18">
      <w:pPr>
        <w:pStyle w:val="BodyText"/>
      </w:pPr>
    </w:p>
    <w:p w14:paraId="1E212D26" w14:textId="77777777" w:rsidR="00652A18" w:rsidRDefault="00000000" w:rsidP="005D5FFE">
      <w:pPr>
        <w:pStyle w:val="Heading1"/>
        <w:spacing w:before="68"/>
        <w:ind w:left="0"/>
      </w:pPr>
      <w:bookmarkStart w:id="3" w:name="Community_Project_Funding_Requests:"/>
      <w:bookmarkEnd w:id="3"/>
      <w:r>
        <w:rPr>
          <w:u w:val="thick"/>
        </w:rPr>
        <w:t>Community</w:t>
      </w:r>
      <w:r>
        <w:rPr>
          <w:spacing w:val="-1"/>
          <w:u w:val="thick"/>
        </w:rPr>
        <w:t xml:space="preserve"> </w:t>
      </w:r>
      <w:r>
        <w:rPr>
          <w:u w:val="thick"/>
        </w:rPr>
        <w:t>Project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Funding </w:t>
      </w:r>
      <w:r>
        <w:rPr>
          <w:spacing w:val="-2"/>
          <w:u w:val="thick"/>
        </w:rPr>
        <w:t>Requests</w:t>
      </w:r>
      <w:r>
        <w:rPr>
          <w:spacing w:val="-2"/>
        </w:rPr>
        <w:t>:</w:t>
      </w:r>
    </w:p>
    <w:p w14:paraId="1E212D29" w14:textId="77777777" w:rsidR="00652A18" w:rsidRDefault="00652A18">
      <w:pPr>
        <w:pStyle w:val="BodyText"/>
        <w:spacing w:before="12"/>
      </w:pPr>
    </w:p>
    <w:p w14:paraId="1E212D2A" w14:textId="77777777" w:rsidR="00652A18" w:rsidRDefault="00000000">
      <w:pPr>
        <w:pStyle w:val="Heading1"/>
      </w:pPr>
      <w:r>
        <w:t>For</w:t>
      </w:r>
      <w:r>
        <w:rPr>
          <w:spacing w:val="-5"/>
        </w:rPr>
        <w:t xml:space="preserve"> </w:t>
      </w:r>
      <w:r>
        <w:t>LHHS,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accepting</w:t>
      </w:r>
      <w:proofErr w:type="gramEnd"/>
      <w:r>
        <w:rPr>
          <w:spacing w:val="-1"/>
        </w:rPr>
        <w:t xml:space="preserve"> </w:t>
      </w:r>
      <w:r>
        <w:t>CPF</w:t>
      </w:r>
      <w:r>
        <w:rPr>
          <w:spacing w:val="-2"/>
        </w:rPr>
        <w:t xml:space="preserve"> requests:</w:t>
      </w:r>
    </w:p>
    <w:p w14:paraId="1E212D2B" w14:textId="77777777" w:rsidR="00652A18" w:rsidRDefault="00652A18">
      <w:pPr>
        <w:pStyle w:val="BodyText"/>
        <w:spacing w:before="11"/>
        <w:rPr>
          <w:b/>
        </w:rPr>
      </w:pPr>
    </w:p>
    <w:p w14:paraId="1E212D2C" w14:textId="77777777" w:rsidR="00652A18" w:rsidRDefault="00000000">
      <w:pPr>
        <w:pStyle w:val="ListParagraph"/>
        <w:numPr>
          <w:ilvl w:val="1"/>
          <w:numId w:val="3"/>
        </w:numPr>
        <w:tabs>
          <w:tab w:val="left" w:pos="739"/>
        </w:tabs>
        <w:spacing w:before="1" w:line="228" w:lineRule="auto"/>
        <w:ind w:right="2751"/>
        <w:rPr>
          <w:rFonts w:ascii="Symbol" w:hAnsi="Symbol"/>
          <w:sz w:val="24"/>
        </w:rPr>
      </w:pPr>
      <w:r>
        <w:rPr>
          <w:sz w:val="24"/>
        </w:rPr>
        <w:t>Department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Human</w:t>
      </w:r>
      <w:r>
        <w:rPr>
          <w:spacing w:val="-10"/>
          <w:sz w:val="24"/>
        </w:rPr>
        <w:t xml:space="preserve"> </w:t>
      </w:r>
      <w:r>
        <w:rPr>
          <w:sz w:val="24"/>
        </w:rPr>
        <w:t>Services—Health</w:t>
      </w:r>
      <w:r>
        <w:rPr>
          <w:spacing w:val="-6"/>
          <w:sz w:val="24"/>
        </w:rPr>
        <w:t xml:space="preserve"> </w:t>
      </w:r>
      <w:r>
        <w:rPr>
          <w:sz w:val="24"/>
        </w:rPr>
        <w:t>Resources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Services Administration—HRSA-Wide Activities and Program Support</w:t>
      </w:r>
    </w:p>
    <w:p w14:paraId="1E212D2D" w14:textId="77777777" w:rsidR="00652A18" w:rsidRDefault="00000000">
      <w:pPr>
        <w:pStyle w:val="BodyText"/>
        <w:spacing w:before="269" w:line="230" w:lineRule="auto"/>
        <w:ind w:left="19" w:right="850"/>
      </w:pPr>
      <w:r>
        <w:t>CPF</w:t>
      </w:r>
      <w:r>
        <w:rPr>
          <w:spacing w:val="-7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HRSA-Wide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account</w:t>
      </w:r>
      <w:r>
        <w:rPr>
          <w:spacing w:val="-10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following category:</w:t>
      </w:r>
    </w:p>
    <w:p w14:paraId="1E212D2E" w14:textId="77777777" w:rsidR="00652A18" w:rsidRDefault="00652A18">
      <w:pPr>
        <w:pStyle w:val="BodyText"/>
      </w:pPr>
    </w:p>
    <w:p w14:paraId="1E212D2F" w14:textId="77777777" w:rsidR="00652A18" w:rsidRDefault="00000000">
      <w:pPr>
        <w:pStyle w:val="BodyText"/>
        <w:spacing w:before="1" w:line="230" w:lineRule="auto"/>
        <w:ind w:left="739" w:right="850"/>
      </w:pPr>
      <w:r>
        <w:rPr>
          <w:b/>
        </w:rPr>
        <w:t>Health Facilities Construction and Equipment</w:t>
      </w:r>
      <w:r>
        <w:t>—CPF requests for the cost of limited-scope construction, renovation, or capital equipment purchase for facilities for health, mental health, or substance use disorder services, training of health professionals, or medical research.</w:t>
      </w:r>
      <w:r>
        <w:rPr>
          <w:spacing w:val="40"/>
        </w:rPr>
        <w:t xml:space="preserve"> </w:t>
      </w:r>
      <w:r>
        <w:t>In 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renovation,</w:t>
      </w:r>
      <w:r>
        <w:rPr>
          <w:spacing w:val="-3"/>
        </w:rPr>
        <w:t xml:space="preserve"> </w:t>
      </w:r>
      <w:r>
        <w:t>CPF</w:t>
      </w:r>
      <w:r>
        <w:rPr>
          <w:spacing w:val="-5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equipment, such as lab equipment, x-ray machines, or telehealth and information technology.</w:t>
      </w:r>
    </w:p>
    <w:p w14:paraId="1E212D30" w14:textId="77777777" w:rsidR="00652A18" w:rsidRDefault="00000000">
      <w:pPr>
        <w:pStyle w:val="BodyText"/>
        <w:spacing w:before="261" w:line="230" w:lineRule="auto"/>
        <w:ind w:left="739" w:right="824"/>
      </w:pPr>
      <w:r>
        <w:t xml:space="preserve">Equipment-only CPF requests not involving construction are permissible. Generally, any equipment having a useful life of more than one year and a unit cost of at least $5,000 will be eligible as capital equipment. In addition, equipment with lower costs may also be eligible, if it </w:t>
      </w:r>
      <w:r>
        <w:lastRenderedPageBreak/>
        <w:t>is treated as an item of capital expense under the recipient institution’s pre-existing, written accounting policies. Equipment expenses for health information systems and electronic medical records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expenditures,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licensees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eligible. The costs of expendable supplies such as pharmaceuticals, lab</w:t>
      </w:r>
      <w:r>
        <w:rPr>
          <w:spacing w:val="40"/>
        </w:rPr>
        <w:t xml:space="preserve"> </w:t>
      </w:r>
      <w:r>
        <w:t>chemicals, or office paper are</w:t>
      </w:r>
      <w:r>
        <w:rPr>
          <w:spacing w:val="40"/>
        </w:rPr>
        <w:t xml:space="preserve"> </w:t>
      </w:r>
      <w:r>
        <w:rPr>
          <w:u w:val="single"/>
        </w:rPr>
        <w:t>not</w:t>
      </w:r>
      <w:r>
        <w:t xml:space="preserve"> eligible.</w:t>
      </w:r>
    </w:p>
    <w:p w14:paraId="1E212D31" w14:textId="77777777" w:rsidR="00652A18" w:rsidRDefault="00000000">
      <w:pPr>
        <w:pStyle w:val="BodyText"/>
        <w:spacing w:before="271" w:line="232" w:lineRule="auto"/>
        <w:ind w:left="739" w:right="850"/>
      </w:pPr>
      <w:r>
        <w:t xml:space="preserve">HRSA Health Facilities funding </w:t>
      </w:r>
      <w:r>
        <w:rPr>
          <w:i/>
        </w:rPr>
        <w:t>cannot</w:t>
      </w:r>
      <w:r>
        <w:rPr>
          <w:i/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to acquire</w:t>
      </w:r>
      <w:r>
        <w:rPr>
          <w:spacing w:val="-1"/>
        </w:rPr>
        <w:t xml:space="preserve"> </w:t>
      </w:r>
      <w:r>
        <w:t>land or</w:t>
      </w:r>
      <w:r>
        <w:rPr>
          <w:spacing w:val="-1"/>
        </w:rPr>
        <w:t xml:space="preserve"> </w:t>
      </w:r>
      <w:r>
        <w:t>purchase existing buildings, or to pay salaries or other operating costs. Funding cannot be used to pay for work previously completed.</w:t>
      </w:r>
      <w:r>
        <w:rPr>
          <w:spacing w:val="-3"/>
        </w:rPr>
        <w:t xml:space="preserve"> </w:t>
      </w:r>
      <w:r>
        <w:t>CPF</w:t>
      </w:r>
      <w:r>
        <w:rPr>
          <w:spacing w:val="-5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architectural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 eligible</w:t>
      </w:r>
      <w:r>
        <w:rPr>
          <w:spacing w:val="40"/>
        </w:rPr>
        <w:t xml:space="preserve"> </w:t>
      </w:r>
      <w:r>
        <w:t>construction</w:t>
      </w:r>
      <w:r>
        <w:rPr>
          <w:spacing w:val="40"/>
        </w:rPr>
        <w:t xml:space="preserve"> </w:t>
      </w:r>
      <w:r>
        <w:t>project but</w:t>
      </w:r>
      <w:r>
        <w:rPr>
          <w:spacing w:val="40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used for</w:t>
      </w:r>
      <w:r>
        <w:rPr>
          <w:spacing w:val="40"/>
        </w:rPr>
        <w:t xml:space="preserve"> </w:t>
      </w:r>
      <w:r>
        <w:t>general feasibility</w:t>
      </w:r>
      <w:r>
        <w:rPr>
          <w:spacing w:val="40"/>
        </w:rPr>
        <w:t xml:space="preserve"> </w:t>
      </w:r>
      <w:r>
        <w:t>studies.</w:t>
      </w:r>
    </w:p>
    <w:p w14:paraId="1E212D32" w14:textId="77777777" w:rsidR="00652A18" w:rsidRDefault="00000000">
      <w:pPr>
        <w:pStyle w:val="BodyText"/>
        <w:spacing w:before="271" w:line="232" w:lineRule="auto"/>
        <w:ind w:left="739" w:right="1967"/>
      </w:pPr>
      <w:r>
        <w:t xml:space="preserve">For more information on construction and equipment requests, see: </w:t>
      </w:r>
      <w:hyperlink r:id="rId9">
        <w:r w:rsidR="00652A18">
          <w:rPr>
            <w:color w:val="0461C1"/>
            <w:spacing w:val="-4"/>
            <w:u w:val="single" w:color="0461C1"/>
          </w:rPr>
          <w:t>https://www.hrsa.gov/grants/manage-your-grant/training/community-project-funding-</w:t>
        </w:r>
      </w:hyperlink>
      <w:hyperlink r:id="rId10">
        <w:r w:rsidR="00652A18">
          <w:rPr>
            <w:color w:val="0461C1"/>
            <w:spacing w:val="-2"/>
            <w:u w:val="single" w:color="0461C1"/>
          </w:rPr>
          <w:t>congressionally-directed</w:t>
        </w:r>
        <w:r w:rsidR="00652A18">
          <w:rPr>
            <w:spacing w:val="-2"/>
          </w:rPr>
          <w:t>.</w:t>
        </w:r>
      </w:hyperlink>
    </w:p>
    <w:p w14:paraId="1E212D33" w14:textId="77777777" w:rsidR="00652A18" w:rsidRDefault="00000000">
      <w:pPr>
        <w:pStyle w:val="BodyText"/>
        <w:spacing w:before="272" w:line="230" w:lineRule="auto"/>
        <w:ind w:left="19" w:right="448"/>
      </w:pPr>
      <w:r>
        <w:t>CPF</w:t>
      </w:r>
      <w:r>
        <w:rPr>
          <w:spacing w:val="-6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describes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specific purposes to achieve the project’s goals.</w:t>
      </w:r>
    </w:p>
    <w:p w14:paraId="1E212D34" w14:textId="77777777" w:rsidR="00652A18" w:rsidRDefault="00000000">
      <w:pPr>
        <w:pStyle w:val="BodyText"/>
        <w:spacing w:before="256"/>
        <w:ind w:left="19"/>
      </w:pPr>
      <w:r>
        <w:t>HRSA</w:t>
      </w:r>
      <w:r>
        <w:rPr>
          <w:spacing w:val="-10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agencies.</w:t>
      </w:r>
    </w:p>
    <w:p w14:paraId="1E212D35" w14:textId="77777777" w:rsidR="00652A18" w:rsidRDefault="00000000">
      <w:pPr>
        <w:pStyle w:val="BodyText"/>
        <w:spacing w:before="197" w:line="271" w:lineRule="auto"/>
        <w:ind w:left="19" w:right="850"/>
      </w:pPr>
      <w:r>
        <w:t>Eligible</w:t>
      </w:r>
      <w:r>
        <w:rPr>
          <w:spacing w:val="-5"/>
        </w:rPr>
        <w:t xml:space="preserve"> </w:t>
      </w:r>
      <w:r>
        <w:t>recipients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 xml:space="preserve">funding </w:t>
      </w:r>
      <w:r>
        <w:rPr>
          <w:spacing w:val="-2"/>
        </w:rPr>
        <w:t>include:</w:t>
      </w:r>
    </w:p>
    <w:p w14:paraId="1E212D36" w14:textId="77777777" w:rsidR="00652A18" w:rsidRDefault="00000000">
      <w:pPr>
        <w:pStyle w:val="ListParagraph"/>
        <w:numPr>
          <w:ilvl w:val="1"/>
          <w:numId w:val="3"/>
        </w:numPr>
        <w:tabs>
          <w:tab w:val="left" w:pos="739"/>
        </w:tabs>
        <w:spacing w:before="199"/>
        <w:rPr>
          <w:rFonts w:ascii="Symbol" w:hAnsi="Symbol"/>
          <w:sz w:val="24"/>
        </w:rPr>
      </w:pPr>
      <w:r>
        <w:rPr>
          <w:sz w:val="24"/>
        </w:rPr>
        <w:t>State,</w:t>
      </w:r>
      <w:r>
        <w:rPr>
          <w:spacing w:val="-2"/>
          <w:sz w:val="24"/>
        </w:rPr>
        <w:t xml:space="preserve"> </w:t>
      </w:r>
      <w:r>
        <w:rPr>
          <w:sz w:val="24"/>
        </w:rPr>
        <w:t>local,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Tribal</w:t>
      </w:r>
      <w:r>
        <w:rPr>
          <w:spacing w:val="-2"/>
          <w:sz w:val="24"/>
        </w:rPr>
        <w:t xml:space="preserve"> governments.</w:t>
      </w:r>
    </w:p>
    <w:p w14:paraId="1E212D37" w14:textId="77777777" w:rsidR="00652A18" w:rsidRDefault="00000000">
      <w:pPr>
        <w:pStyle w:val="ListParagraph"/>
        <w:numPr>
          <w:ilvl w:val="1"/>
          <w:numId w:val="3"/>
        </w:numPr>
        <w:tabs>
          <w:tab w:val="left" w:pos="739"/>
        </w:tabs>
        <w:spacing w:before="229" w:line="268" w:lineRule="auto"/>
        <w:ind w:right="1043"/>
        <w:rPr>
          <w:rFonts w:ascii="Symbol" w:hAnsi="Symbol"/>
          <w:sz w:val="24"/>
        </w:rPr>
      </w:pPr>
      <w:r>
        <w:rPr>
          <w:sz w:val="24"/>
        </w:rPr>
        <w:t>Non-profit entities that are: (1) certified rural health clinics, (2) Federally Qualified Health Centers, (3) designated Critical Access Hospitals; or (4) hospitals located in areas that meet HRSA’s</w:t>
      </w:r>
      <w:r>
        <w:rPr>
          <w:spacing w:val="-9"/>
          <w:sz w:val="24"/>
        </w:rPr>
        <w:t xml:space="preserve"> </w:t>
      </w:r>
      <w:r>
        <w:rPr>
          <w:sz w:val="24"/>
        </w:rPr>
        <w:t>definition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rural:</w:t>
      </w:r>
      <w:r>
        <w:rPr>
          <w:spacing w:val="-9"/>
          <w:sz w:val="24"/>
        </w:rPr>
        <w:t xml:space="preserve"> </w:t>
      </w:r>
      <w:hyperlink r:id="rId11">
        <w:r w:rsidR="00652A18">
          <w:rPr>
            <w:color w:val="0461C1"/>
            <w:sz w:val="24"/>
            <w:u w:val="single" w:color="0461C1"/>
          </w:rPr>
          <w:t>https://www.hrsa.gov/rural-health/about-us/definition/index.html</w:t>
        </w:r>
        <w:r w:rsidR="00652A18">
          <w:rPr>
            <w:sz w:val="24"/>
          </w:rPr>
          <w:t>.</w:t>
        </w:r>
      </w:hyperlink>
    </w:p>
    <w:p w14:paraId="1E212D38" w14:textId="77777777" w:rsidR="00652A18" w:rsidRDefault="00652A18">
      <w:pPr>
        <w:pStyle w:val="ListParagraph"/>
        <w:spacing w:line="268" w:lineRule="auto"/>
        <w:rPr>
          <w:rFonts w:ascii="Symbol" w:hAnsi="Symbol"/>
          <w:sz w:val="24"/>
        </w:rPr>
        <w:sectPr w:rsidR="00652A18">
          <w:footerReference w:type="default" r:id="rId12"/>
          <w:pgSz w:w="12240" w:h="16360"/>
          <w:pgMar w:top="1420" w:right="360" w:bottom="1180" w:left="1080" w:header="0" w:footer="995" w:gutter="0"/>
          <w:cols w:space="720"/>
        </w:sectPr>
      </w:pPr>
    </w:p>
    <w:p w14:paraId="1E212D39" w14:textId="77777777" w:rsidR="00652A18" w:rsidRDefault="00000000">
      <w:pPr>
        <w:spacing w:before="70" w:line="271" w:lineRule="auto"/>
        <w:ind w:left="19" w:right="1002"/>
      </w:pPr>
      <w:r>
        <w:lastRenderedPageBreak/>
        <w:t>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Provision</w:t>
      </w:r>
      <w:r>
        <w:rPr>
          <w:spacing w:val="-6"/>
        </w:rPr>
        <w:t xml:space="preserve"> </w:t>
      </w:r>
      <w:r>
        <w:t>prohibits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expend</w:t>
      </w:r>
      <w:r>
        <w:rPr>
          <w:spacing w:val="-6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abortion.</w:t>
      </w:r>
      <w:r>
        <w:rPr>
          <w:spacing w:val="40"/>
        </w:rPr>
        <w:t xml:space="preserve"> </w:t>
      </w:r>
      <w:r>
        <w:t xml:space="preserve">The following entities are </w:t>
      </w:r>
      <w:r>
        <w:rPr>
          <w:b/>
        </w:rPr>
        <w:t>not eligible for LHHS community project funding</w:t>
      </w:r>
      <w:r>
        <w:t>:</w:t>
      </w:r>
    </w:p>
    <w:p w14:paraId="1E212D3A" w14:textId="77777777" w:rsidR="00652A18" w:rsidRDefault="00000000">
      <w:pPr>
        <w:pStyle w:val="ListParagraph"/>
        <w:numPr>
          <w:ilvl w:val="1"/>
          <w:numId w:val="3"/>
        </w:numPr>
        <w:tabs>
          <w:tab w:val="left" w:pos="739"/>
        </w:tabs>
        <w:spacing w:before="194"/>
        <w:ind w:right="926"/>
        <w:rPr>
          <w:rFonts w:ascii="Symbol" w:hAnsi="Symbol"/>
          <w:color w:val="333333"/>
          <w:sz w:val="20"/>
        </w:rPr>
      </w:pPr>
      <w:r>
        <w:rPr>
          <w:sz w:val="24"/>
        </w:rPr>
        <w:t>Entities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promote</w:t>
      </w:r>
      <w:r>
        <w:rPr>
          <w:spacing w:val="-5"/>
          <w:sz w:val="24"/>
        </w:rPr>
        <w:t xml:space="preserve"> </w:t>
      </w:r>
      <w:r>
        <w:rPr>
          <w:sz w:val="24"/>
        </w:rPr>
        <w:t>abortions,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referrals,</w:t>
      </w:r>
      <w:r>
        <w:rPr>
          <w:spacing w:val="-4"/>
          <w:sz w:val="24"/>
        </w:rPr>
        <w:t xml:space="preserve"> </w:t>
      </w:r>
      <w:r>
        <w:rPr>
          <w:sz w:val="24"/>
        </w:rPr>
        <w:t>counseling,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lobbying, and training related to abortions; furnish or develop any item intended to procure abortions; or provide financial support for such entities. The exceptions </w:t>
      </w:r>
      <w:r>
        <w:rPr>
          <w:color w:val="333333"/>
          <w:sz w:val="24"/>
        </w:rPr>
        <w:t>described in section 507(a) of division B of the Consolidated Appropriations Act, 2026 (P.L. 119–75) shall apply.</w:t>
      </w:r>
    </w:p>
    <w:p w14:paraId="1E212D3B" w14:textId="77777777" w:rsidR="00652A18" w:rsidRDefault="00000000">
      <w:pPr>
        <w:pStyle w:val="ListParagraph"/>
        <w:numPr>
          <w:ilvl w:val="1"/>
          <w:numId w:val="3"/>
        </w:numPr>
        <w:tabs>
          <w:tab w:val="left" w:pos="739"/>
        </w:tabs>
        <w:spacing w:before="197" w:line="268" w:lineRule="auto"/>
        <w:ind w:right="914"/>
        <w:rPr>
          <w:rFonts w:ascii="Symbol" w:hAnsi="Symbol"/>
          <w:sz w:val="20"/>
        </w:rPr>
      </w:pP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embryonic</w:t>
      </w:r>
      <w:r>
        <w:rPr>
          <w:spacing w:val="-4"/>
          <w:sz w:val="24"/>
        </w:rPr>
        <w:t xml:space="preserve"> </w:t>
      </w:r>
      <w:r>
        <w:rPr>
          <w:sz w:val="24"/>
        </w:rPr>
        <w:t>stem</w:t>
      </w:r>
      <w:r>
        <w:rPr>
          <w:spacing w:val="-3"/>
          <w:sz w:val="24"/>
        </w:rPr>
        <w:t xml:space="preserve"> </w:t>
      </w:r>
      <w:r>
        <w:rPr>
          <w:sz w:val="24"/>
        </w:rPr>
        <w:t>cells</w:t>
      </w:r>
      <w:r>
        <w:rPr>
          <w:spacing w:val="-4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tissue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obtained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 an induced abortion) or human germline gene modification.</w:t>
      </w:r>
    </w:p>
    <w:p w14:paraId="1E212D3C" w14:textId="77777777" w:rsidR="00652A18" w:rsidRDefault="00000000">
      <w:pPr>
        <w:pStyle w:val="ListParagraph"/>
        <w:numPr>
          <w:ilvl w:val="1"/>
          <w:numId w:val="3"/>
        </w:numPr>
        <w:tabs>
          <w:tab w:val="left" w:pos="739"/>
        </w:tabs>
        <w:spacing w:before="200" w:line="271" w:lineRule="auto"/>
        <w:ind w:right="972"/>
        <w:rPr>
          <w:rFonts w:ascii="Symbol" w:hAnsi="Symbol"/>
          <w:sz w:val="20"/>
        </w:rPr>
      </w:pPr>
      <w:r>
        <w:rPr>
          <w:sz w:val="24"/>
        </w:rPr>
        <w:t>Entities that facilitate, promote access to, or refer for psychological, behavioral, or medical interventions performed for the purposes of intentionally changing the body of an individual 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disrupting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body’s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4"/>
          <w:sz w:val="24"/>
        </w:rPr>
        <w:t xml:space="preserve"> </w:t>
      </w:r>
      <w:r>
        <w:rPr>
          <w:sz w:val="24"/>
        </w:rPr>
        <w:t>inhibiting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z w:val="24"/>
        </w:rPr>
        <w:t>functions,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modifying its appearance) to no longer correspond to the individual’s biological sex.</w:t>
      </w:r>
    </w:p>
    <w:p w14:paraId="1E212D47" w14:textId="77777777" w:rsidR="00652A18" w:rsidRDefault="00000000">
      <w:pPr>
        <w:pStyle w:val="BodyText"/>
        <w:spacing w:before="276"/>
        <w:ind w:left="19" w:right="448"/>
      </w:pPr>
      <w:r>
        <w:t>All CPF requests must meet applicable eligibility requirements. Any CPFs that are funded in an appropriations</w:t>
      </w:r>
      <w:r>
        <w:rPr>
          <w:spacing w:val="-3"/>
        </w:rPr>
        <w:t xml:space="preserve"> </w:t>
      </w:r>
      <w:r>
        <w:t>bill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HHS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for compliance prior to official award.</w:t>
      </w:r>
    </w:p>
    <w:p w14:paraId="1E212D48" w14:textId="77777777" w:rsidR="00652A18" w:rsidRDefault="00000000">
      <w:pPr>
        <w:pStyle w:val="BodyText"/>
        <w:spacing w:before="276"/>
        <w:ind w:left="19" w:right="870"/>
      </w:pPr>
      <w:r>
        <w:t>If the CPF recipient’s construction project is expected to begin imminently, please note that CPF construction projects must adhere to National Environmental Policy Act (NEPA) / National Historic Preservation Act (NHPA) requirements prior to initiating any physical preparation, demolition, alteration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renovation,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CPF</w:t>
      </w:r>
      <w:r>
        <w:rPr>
          <w:spacing w:val="-5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 accounting for time for application submission and review, award issuance, and resolution of conditions on the award, including NEPA/NHPA requirements, prior to starting the project.</w:t>
      </w:r>
    </w:p>
    <w:p w14:paraId="1E212D49" w14:textId="77777777" w:rsidR="00652A18" w:rsidRDefault="00652A18">
      <w:pPr>
        <w:pStyle w:val="BodyText"/>
      </w:pPr>
    </w:p>
    <w:p w14:paraId="1E212D4A" w14:textId="77777777" w:rsidR="00652A18" w:rsidRDefault="00000000">
      <w:pPr>
        <w:pStyle w:val="BodyText"/>
        <w:ind w:left="19" w:right="850"/>
      </w:pPr>
      <w:r>
        <w:t>CPF</w:t>
      </w:r>
      <w:r>
        <w:rPr>
          <w:spacing w:val="-5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viewed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funding</w:t>
      </w:r>
      <w:r>
        <w:rPr>
          <w:spacing w:val="-8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distinct</w:t>
      </w:r>
      <w:r>
        <w:rPr>
          <w:spacing w:val="-3"/>
        </w:rPr>
        <w:t xml:space="preserve"> </w:t>
      </w:r>
      <w:r>
        <w:t>from competitive grant opportunities.</w:t>
      </w:r>
    </w:p>
    <w:p w14:paraId="1E212D4B" w14:textId="77777777" w:rsidR="00652A18" w:rsidRDefault="00652A18">
      <w:pPr>
        <w:pStyle w:val="BodyText"/>
      </w:pPr>
    </w:p>
    <w:p w14:paraId="1E212D4C" w14:textId="77777777" w:rsidR="00652A18" w:rsidRDefault="00000000">
      <w:pPr>
        <w:ind w:left="19" w:right="850"/>
        <w:rPr>
          <w:b/>
          <w:sz w:val="24"/>
        </w:rPr>
      </w:pPr>
      <w:r>
        <w:rPr>
          <w:b/>
          <w:sz w:val="24"/>
        </w:rPr>
        <w:t>Keep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depend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resources,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larger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may have to be reduced.</w:t>
      </w:r>
    </w:p>
    <w:p w14:paraId="1B013CB1" w14:textId="77777777" w:rsidR="00BD1E0D" w:rsidRDefault="00BD1E0D">
      <w:pPr>
        <w:ind w:left="19" w:right="850"/>
        <w:rPr>
          <w:b/>
          <w:sz w:val="24"/>
        </w:rPr>
      </w:pPr>
    </w:p>
    <w:p w14:paraId="7A773015" w14:textId="77777777" w:rsidR="00BD1E0D" w:rsidRDefault="00BD1E0D">
      <w:pPr>
        <w:ind w:left="19" w:right="850"/>
        <w:rPr>
          <w:b/>
          <w:sz w:val="24"/>
        </w:rPr>
      </w:pPr>
    </w:p>
    <w:p w14:paraId="71C3F9A8" w14:textId="77777777" w:rsidR="005D5FFE" w:rsidRDefault="005D5FFE" w:rsidP="005D5FFE">
      <w:pPr>
        <w:pStyle w:val="Heading1"/>
        <w:jc w:val="both"/>
      </w:pPr>
      <w:r>
        <w:rPr>
          <w:u w:val="single"/>
        </w:rPr>
        <w:t>Community</w:t>
      </w:r>
      <w:r>
        <w:rPr>
          <w:spacing w:val="-5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3"/>
          <w:u w:val="single"/>
        </w:rPr>
        <w:t xml:space="preserve"> </w:t>
      </w:r>
      <w:r>
        <w:rPr>
          <w:u w:val="single"/>
        </w:rPr>
        <w:t>Letters</w:t>
      </w:r>
      <w:r>
        <w:rPr>
          <w:spacing w:val="-3"/>
          <w:u w:val="single"/>
        </w:rPr>
        <w:t xml:space="preserve"> </w:t>
      </w:r>
      <w:r>
        <w:rPr>
          <w:u w:val="single"/>
        </w:rPr>
        <w:t>– Community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3"/>
          <w:u w:val="single"/>
        </w:rPr>
        <w:t xml:space="preserve"> </w:t>
      </w:r>
      <w:r>
        <w:rPr>
          <w:u w:val="single"/>
        </w:rPr>
        <w:t>Funding</w:t>
      </w:r>
      <w:r>
        <w:rPr>
          <w:spacing w:val="-2"/>
          <w:u w:val="single"/>
        </w:rPr>
        <w:t xml:space="preserve"> Requests:</w:t>
      </w:r>
    </w:p>
    <w:p w14:paraId="064D8577" w14:textId="77777777" w:rsidR="005D5FFE" w:rsidRDefault="005D5FFE" w:rsidP="005D5FFE">
      <w:pPr>
        <w:pStyle w:val="BodyText"/>
        <w:rPr>
          <w:b/>
        </w:rPr>
      </w:pPr>
    </w:p>
    <w:p w14:paraId="6705DB34" w14:textId="77777777" w:rsidR="005D5FFE" w:rsidRPr="005D5FFE" w:rsidRDefault="005D5FFE" w:rsidP="005D5FFE">
      <w:pPr>
        <w:pStyle w:val="BodyText"/>
        <w:ind w:left="19" w:right="448"/>
        <w:sectPr w:rsidR="005D5FFE" w:rsidRPr="005D5FFE" w:rsidSect="005D5FFE">
          <w:footerReference w:type="default" r:id="rId13"/>
          <w:pgSz w:w="12240" w:h="16360"/>
          <w:pgMar w:top="1420" w:right="360" w:bottom="1200" w:left="1080" w:header="0" w:footer="995" w:gutter="0"/>
          <w:cols w:space="720"/>
        </w:sectPr>
      </w:pPr>
      <w:r>
        <w:t>Community engagement and support are crucial in determining which projects are worthy of Federal funding.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demonstrated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 xml:space="preserve">evidence of community support, Members must submit community support letters into the database as part of their </w:t>
      </w:r>
      <w:r>
        <w:rPr>
          <w:spacing w:val="-2"/>
        </w:rPr>
        <w:t>requests.</w:t>
      </w:r>
    </w:p>
    <w:p w14:paraId="5B3DED43" w14:textId="77777777" w:rsidR="005D5FFE" w:rsidRDefault="005D5FFE">
      <w:pPr>
        <w:ind w:left="19" w:right="850"/>
        <w:rPr>
          <w:b/>
          <w:sz w:val="24"/>
        </w:rPr>
      </w:pPr>
    </w:p>
    <w:sectPr w:rsidR="005D5FFE">
      <w:pgSz w:w="12240" w:h="16360"/>
      <w:pgMar w:top="1420" w:right="360" w:bottom="1200" w:left="108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2E05" w14:textId="77777777" w:rsidR="0061140A" w:rsidRDefault="0061140A">
      <w:r>
        <w:separator/>
      </w:r>
    </w:p>
  </w:endnote>
  <w:endnote w:type="continuationSeparator" w:id="0">
    <w:p w14:paraId="13F1186F" w14:textId="77777777" w:rsidR="0061140A" w:rsidRDefault="0061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2D4F" w14:textId="77777777" w:rsidR="00652A1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1E212D50" wp14:editId="1E212D51">
              <wp:simplePos x="0" y="0"/>
              <wp:positionH relativeFrom="page">
                <wp:posOffset>7088123</wp:posOffset>
              </wp:positionH>
              <wp:positionV relativeFrom="page">
                <wp:posOffset>9599168</wp:posOffset>
              </wp:positionV>
              <wp:extent cx="1593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12D5B" w14:textId="77777777" w:rsidR="00652A1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12D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55.85pt;width:12.55pt;height:13.0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" filled="f" stroked="f">
              <v:textbox inset="0,0,0,0">
                <w:txbxContent>
                  <w:p w14:paraId="1E212D5B" w14:textId="77777777" w:rsidR="00652A1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2831" w14:textId="77777777" w:rsidR="005D5FFE" w:rsidRDefault="005D5F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1FAAA7B4" wp14:editId="70F05E02">
              <wp:simplePos x="0" y="0"/>
              <wp:positionH relativeFrom="page">
                <wp:posOffset>7088123</wp:posOffset>
              </wp:positionH>
              <wp:positionV relativeFrom="page">
                <wp:posOffset>9599168</wp:posOffset>
              </wp:positionV>
              <wp:extent cx="159385" cy="165735"/>
              <wp:effectExtent l="0" t="0" r="0" b="0"/>
              <wp:wrapNone/>
              <wp:docPr id="1010335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743D6" w14:textId="77777777" w:rsidR="005D5FFE" w:rsidRDefault="005D5FF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AA7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8.1pt;margin-top:755.85pt;width:12.55pt;height:13.0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" filled="f" stroked="f">
              <v:textbox inset="0,0,0,0">
                <w:txbxContent>
                  <w:p w14:paraId="66B743D6" w14:textId="77777777" w:rsidR="005D5FFE" w:rsidRDefault="005D5FF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498F" w14:textId="77777777" w:rsidR="0061140A" w:rsidRDefault="0061140A">
      <w:r>
        <w:separator/>
      </w:r>
    </w:p>
  </w:footnote>
  <w:footnote w:type="continuationSeparator" w:id="0">
    <w:p w14:paraId="023296D0" w14:textId="77777777" w:rsidR="0061140A" w:rsidRDefault="0061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B751D"/>
    <w:multiLevelType w:val="hybridMultilevel"/>
    <w:tmpl w:val="72A83502"/>
    <w:lvl w:ilvl="0" w:tplc="FA5AFBE4">
      <w:numFmt w:val="bullet"/>
      <w:lvlText w:val="□"/>
      <w:lvlJc w:val="left"/>
      <w:pPr>
        <w:ind w:left="6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8"/>
        <w:sz w:val="24"/>
        <w:szCs w:val="24"/>
        <w:lang w:val="en-US" w:eastAsia="en-US" w:bidi="ar-SA"/>
      </w:rPr>
    </w:lvl>
    <w:lvl w:ilvl="1" w:tplc="1CE49618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2" w:tplc="C1B00A98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3" w:tplc="E0DAAD64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8A94DCAC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5" w:tplc="75747BD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6" w:tplc="81C033D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7" w:tplc="EE34FA9E">
      <w:numFmt w:val="bullet"/>
      <w:lvlText w:val="•"/>
      <w:lvlJc w:val="left"/>
      <w:pPr>
        <w:ind w:left="7589" w:hanging="360"/>
      </w:pPr>
      <w:rPr>
        <w:rFonts w:hint="default"/>
        <w:lang w:val="en-US" w:eastAsia="en-US" w:bidi="ar-SA"/>
      </w:rPr>
    </w:lvl>
    <w:lvl w:ilvl="8" w:tplc="45DA0910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2C4F86"/>
    <w:multiLevelType w:val="hybridMultilevel"/>
    <w:tmpl w:val="09BE35D2"/>
    <w:lvl w:ilvl="0" w:tplc="2402DC9A">
      <w:start w:val="1"/>
      <w:numFmt w:val="decimal"/>
      <w:lvlText w:val="(%1)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00E2BEC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5350AC1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0C162BAA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8742801A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0D16607A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8550B238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 w:tplc="8D1A8D02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F2625EF6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A91762"/>
    <w:multiLevelType w:val="hybridMultilevel"/>
    <w:tmpl w:val="83802CFC"/>
    <w:lvl w:ilvl="0" w:tplc="45A2B7EC">
      <w:start w:val="1"/>
      <w:numFmt w:val="decimal"/>
      <w:lvlText w:val="(%1)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2D83D3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D2C0BA8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2D8E12A8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2C4A587C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F84E74C0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8B92E04E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 w:tplc="C6A07CA2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CACA39E0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EA362A"/>
    <w:multiLevelType w:val="hybridMultilevel"/>
    <w:tmpl w:val="C914A20C"/>
    <w:lvl w:ilvl="0" w:tplc="04090001">
      <w:start w:val="1"/>
      <w:numFmt w:val="bullet"/>
      <w:lvlText w:val=""/>
      <w:lvlJc w:val="left"/>
      <w:pPr>
        <w:ind w:left="739" w:hanging="360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0713D7"/>
    <w:multiLevelType w:val="hybridMultilevel"/>
    <w:tmpl w:val="8C24E982"/>
    <w:lvl w:ilvl="0" w:tplc="DCFAE52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9E776E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2916799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6C0C6302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CDFE204C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6C56B73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023868F0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 w:tplc="580082FC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A0C4179E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9C25BC4"/>
    <w:multiLevelType w:val="hybridMultilevel"/>
    <w:tmpl w:val="7834E134"/>
    <w:lvl w:ilvl="0" w:tplc="1A9E6AF0">
      <w:start w:val="1"/>
      <w:numFmt w:val="decimal"/>
      <w:lvlText w:val="(%1)"/>
      <w:lvlJc w:val="left"/>
      <w:pPr>
        <w:ind w:left="7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A7E6002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A7D4E26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AD923CC2">
      <w:numFmt w:val="bullet"/>
      <w:lvlText w:val="•"/>
      <w:lvlJc w:val="left"/>
      <w:pPr>
        <w:ind w:left="3758" w:hanging="360"/>
      </w:pPr>
      <w:rPr>
        <w:rFonts w:hint="default"/>
        <w:lang w:val="en-US" w:eastAsia="en-US" w:bidi="ar-SA"/>
      </w:rPr>
    </w:lvl>
    <w:lvl w:ilvl="4" w:tplc="43AA5114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5" w:tplc="01D6CBF0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6E5E6CE8">
      <w:numFmt w:val="bullet"/>
      <w:lvlText w:val="•"/>
      <w:lvlJc w:val="left"/>
      <w:pPr>
        <w:ind w:left="6776" w:hanging="360"/>
      </w:pPr>
      <w:rPr>
        <w:rFonts w:hint="default"/>
        <w:lang w:val="en-US" w:eastAsia="en-US" w:bidi="ar-SA"/>
      </w:rPr>
    </w:lvl>
    <w:lvl w:ilvl="7" w:tplc="965A756A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084A74BE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num w:numId="1" w16cid:durableId="1055197204">
    <w:abstractNumId w:val="5"/>
  </w:num>
  <w:num w:numId="2" w16cid:durableId="906257685">
    <w:abstractNumId w:val="0"/>
  </w:num>
  <w:num w:numId="3" w16cid:durableId="1741949272">
    <w:abstractNumId w:val="2"/>
  </w:num>
  <w:num w:numId="4" w16cid:durableId="37628480">
    <w:abstractNumId w:val="1"/>
  </w:num>
  <w:num w:numId="5" w16cid:durableId="1255625464">
    <w:abstractNumId w:val="4"/>
  </w:num>
  <w:num w:numId="6" w16cid:durableId="681933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18"/>
    <w:rsid w:val="001B2FE5"/>
    <w:rsid w:val="003B0584"/>
    <w:rsid w:val="005D5FFE"/>
    <w:rsid w:val="005F1D94"/>
    <w:rsid w:val="0061140A"/>
    <w:rsid w:val="00652A18"/>
    <w:rsid w:val="00BD1E0D"/>
    <w:rsid w:val="00BE0336"/>
    <w:rsid w:val="00CC3F4D"/>
    <w:rsid w:val="00E05485"/>
    <w:rsid w:val="00E40615"/>
    <w:rsid w:val="00F4189C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2CE1"/>
  <w15:docId w15:val="{4FBCA07C-E524-4ECC-836C-DFE9D63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3F4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C3F4D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E05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j.Adusumilli@mail.house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mmunityProjects.Ross@mail.house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sa.gov/rural-health/about-us/definition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rsa.gov/grants/manage-your-grant/training/community-project-funding-congressionally-direc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sa.gov/grants/manage-your-grant/training/community-project-funding-congressionally-direct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Adusumilli, Puj</dc:creator>
  <cp:lastModifiedBy>Adusumilli, Puj</cp:lastModifiedBy>
  <cp:revision>3</cp:revision>
  <dcterms:created xsi:type="dcterms:W3CDTF">2026-02-26T15:14:00Z</dcterms:created>
  <dcterms:modified xsi:type="dcterms:W3CDTF">2026-02-26T15:28:00Z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0x010100F66A5392F77F0B469D5331CFBADE189B</vt:lpwstr>
  </property>
  <property fmtid="{D5CDD505-2E9C-101B-9397-08002B2CF9AE}" pid="3" name="Created">
    <vt:filetime>2026-02-25T00:00:00Z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2e5602fc6082fff694b77cbd35084d00b37c172e71ddf2f244df480c521f7953</vt:lpwstr>
  </property>
  <property fmtid="{D5CDD505-2E9C-101B-9397-08002B2CF9AE}" pid="6" name="LastSaved">
    <vt:filetime>2026-02-25T00:00:00Z</vt:filetime>
  </property>
  <property fmtid="{D5CDD505-2E9C-101B-9397-08002B2CF9AE}" pid="7" name="Producer">
    <vt:lpwstr>Adobe PDF Library 25.1.231</vt:lpwstr>
  </property>
  <property fmtid="{D5CDD505-2E9C-101B-9397-08002B2CF9AE}" pid="8" name="SourceModified">
    <vt:lpwstr>D:20260225152251</vt:lpwstr>
  </property>
  <property fmtid="{D5CDD505-2E9C-101B-9397-08002B2CF9AE}" pid="9" name="docLang">
    <vt:lpwstr>en</vt:lpwstr>
  </property>
</Properties>
</file>